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EB" w:rsidRDefault="00A279F1"/>
    <w:p w:rsidR="00E31603" w:rsidRPr="00BE1813" w:rsidRDefault="00E31603" w:rsidP="00E31603">
      <w:pPr>
        <w:jc w:val="center"/>
        <w:rPr>
          <w:rFonts w:cstheme="minorHAnsi"/>
          <w:b/>
        </w:rPr>
      </w:pPr>
      <w:r w:rsidRPr="00BE1813">
        <w:rPr>
          <w:rFonts w:cstheme="minorHAnsi"/>
          <w:b/>
        </w:rPr>
        <w:t>DEFENCE-READY INITIATIVE ASSESSMENT CRITERIA</w:t>
      </w:r>
    </w:p>
    <w:p w:rsidR="00E31603" w:rsidRPr="00BE1813" w:rsidRDefault="00E31603" w:rsidP="00E31603">
      <w:pPr>
        <w:pStyle w:val="Heading2"/>
        <w:rPr>
          <w:rFonts w:asciiTheme="minorHAnsi" w:hAnsiTheme="minorHAnsi" w:cstheme="minorHAnsi"/>
          <w:sz w:val="22"/>
          <w:szCs w:val="22"/>
        </w:rPr>
      </w:pPr>
      <w:r w:rsidRPr="00BE1813">
        <w:rPr>
          <w:rFonts w:asciiTheme="minorHAnsi" w:hAnsiTheme="minorHAnsi" w:cstheme="minorHAnsi"/>
          <w:sz w:val="22"/>
          <w:szCs w:val="22"/>
        </w:rPr>
        <w:t>Overview</w:t>
      </w:r>
    </w:p>
    <w:p w:rsidR="00E31603" w:rsidRPr="00BE1813" w:rsidRDefault="00E31603" w:rsidP="00E31603">
      <w:pPr>
        <w:pStyle w:val="NoSpacing"/>
        <w:rPr>
          <w:rFonts w:cstheme="minorHAnsi"/>
        </w:rPr>
      </w:pPr>
      <w:r w:rsidRPr="00BE1813">
        <w:rPr>
          <w:rFonts w:cstheme="minorHAnsi"/>
        </w:rPr>
        <w:t xml:space="preserve">In general, proposals that </w:t>
      </w:r>
      <w:r>
        <w:rPr>
          <w:rFonts w:cstheme="minorHAnsi"/>
        </w:rPr>
        <w:t xml:space="preserve">improve a business capability, increasing the business in becoming ‘defence-ready’ and subsequently entering or advancing this capability with the defence supply chain are supported.  </w:t>
      </w:r>
      <w:r w:rsidRPr="00BE1813">
        <w:rPr>
          <w:rFonts w:cstheme="minorHAnsi"/>
        </w:rPr>
        <w:t>Funding is awarded on a competitive basis subject to prioritisation and available funding. Prioritisation is determined by the extent to which the proposal:</w:t>
      </w:r>
    </w:p>
    <w:p w:rsidR="00E31603" w:rsidRPr="00BE1813" w:rsidRDefault="00E31603" w:rsidP="00E31603">
      <w:pPr>
        <w:pStyle w:val="NoSpacing"/>
        <w:ind w:left="720"/>
        <w:rPr>
          <w:rFonts w:cstheme="minorHAnsi"/>
        </w:rPr>
      </w:pPr>
    </w:p>
    <w:p w:rsidR="00E31603" w:rsidRPr="00F80A22" w:rsidRDefault="00E31603" w:rsidP="00E31603">
      <w:pPr>
        <w:pStyle w:val="NoSpacing"/>
        <w:numPr>
          <w:ilvl w:val="0"/>
          <w:numId w:val="1"/>
        </w:numPr>
        <w:rPr>
          <w:rFonts w:cstheme="minorHAnsi"/>
        </w:rPr>
      </w:pPr>
      <w:r w:rsidRPr="00F80A22">
        <w:rPr>
          <w:rFonts w:cstheme="minorHAnsi"/>
          <w:iCs/>
        </w:rPr>
        <w:t>Demonstrates a business capability improvement that aligns to Defence requirements</w:t>
      </w:r>
    </w:p>
    <w:p w:rsidR="00E31603" w:rsidRPr="00F80A22" w:rsidRDefault="00E31603" w:rsidP="00E31603">
      <w:pPr>
        <w:pStyle w:val="NoSpacing"/>
        <w:numPr>
          <w:ilvl w:val="0"/>
          <w:numId w:val="1"/>
        </w:numPr>
        <w:rPr>
          <w:rFonts w:cstheme="minorHAnsi"/>
        </w:rPr>
      </w:pPr>
      <w:r w:rsidRPr="00F80A22">
        <w:rPr>
          <w:rFonts w:cstheme="minorHAnsi"/>
        </w:rPr>
        <w:t xml:space="preserve">Generates an impact for the business in becoming ‘defence-ready’ </w:t>
      </w:r>
    </w:p>
    <w:p w:rsidR="00E31603" w:rsidRPr="00F80A22" w:rsidRDefault="00E31603" w:rsidP="00E31603">
      <w:pPr>
        <w:pStyle w:val="NoSpacing"/>
        <w:numPr>
          <w:ilvl w:val="0"/>
          <w:numId w:val="1"/>
        </w:numPr>
        <w:rPr>
          <w:rFonts w:cstheme="minorHAnsi"/>
        </w:rPr>
      </w:pPr>
      <w:r w:rsidRPr="00F80A22">
        <w:rPr>
          <w:rFonts w:cstheme="minorHAnsi"/>
        </w:rPr>
        <w:t>Supports capacity building in businesses where Defence has an interest or defence supply chain</w:t>
      </w:r>
    </w:p>
    <w:p w:rsidR="00E31603" w:rsidRPr="00BE1813" w:rsidRDefault="00E31603" w:rsidP="00E31603">
      <w:pPr>
        <w:pStyle w:val="NoSpacing"/>
        <w:rPr>
          <w:rFonts w:cstheme="minorHAnsi"/>
        </w:rPr>
      </w:pPr>
    </w:p>
    <w:p w:rsidR="00E31603" w:rsidRPr="00BE1813" w:rsidRDefault="00E31603" w:rsidP="00E31603">
      <w:pPr>
        <w:pStyle w:val="NoSpacing"/>
        <w:rPr>
          <w:rFonts w:cstheme="minorHAnsi"/>
        </w:rPr>
      </w:pPr>
      <w:r w:rsidRPr="00BE1813">
        <w:rPr>
          <w:rFonts w:cstheme="minorHAnsi"/>
        </w:rPr>
        <w:t xml:space="preserve">Applications are screened by </w:t>
      </w:r>
      <w:r>
        <w:rPr>
          <w:rFonts w:cstheme="minorHAnsi"/>
        </w:rPr>
        <w:t>Defence West</w:t>
      </w:r>
      <w:r w:rsidRPr="00BE1813">
        <w:rPr>
          <w:rFonts w:cstheme="minorHAnsi"/>
        </w:rPr>
        <w:t xml:space="preserve"> to ensure they are complete, compliant with details such as a legal entity etc., and provide sufficient detail to describe or explain the proposal and how it might benefit Defence.</w:t>
      </w:r>
    </w:p>
    <w:p w:rsidR="00E31603" w:rsidRPr="00BE1813" w:rsidRDefault="00E31603" w:rsidP="00E31603">
      <w:pPr>
        <w:pStyle w:val="NoSpacing"/>
        <w:rPr>
          <w:rFonts w:cstheme="minorHAnsi"/>
        </w:rPr>
      </w:pPr>
    </w:p>
    <w:p w:rsidR="00E31603" w:rsidRPr="00BE1813" w:rsidRDefault="00E31603" w:rsidP="00E31603">
      <w:pPr>
        <w:pStyle w:val="NoSpacing"/>
        <w:rPr>
          <w:rFonts w:cstheme="minorHAnsi"/>
        </w:rPr>
      </w:pPr>
      <w:r w:rsidRPr="00BE1813">
        <w:rPr>
          <w:rFonts w:cstheme="minorHAnsi"/>
        </w:rPr>
        <w:t>With the exception of “In Scope”, all criteria are assessed with a score between 1 and 10 and have equal weight. Note that the example scores are provided for reference and that numbers in the range 1-10 can be used to indicate the assessment. The “In Scope” criterion determines eligibility and so must be satisfied by applicants.</w:t>
      </w:r>
    </w:p>
    <w:p w:rsidR="00E31603" w:rsidRPr="00BE1813" w:rsidRDefault="00E31603" w:rsidP="00E31603">
      <w:pPr>
        <w:pStyle w:val="NoSpacing"/>
        <w:rPr>
          <w:rFonts w:cstheme="minorHAnsi"/>
        </w:rPr>
      </w:pPr>
    </w:p>
    <w:p w:rsidR="00E31603" w:rsidRPr="00BE1813" w:rsidRDefault="00E31603" w:rsidP="00E31603">
      <w:pPr>
        <w:pStyle w:val="Heading3"/>
        <w:rPr>
          <w:rFonts w:asciiTheme="minorHAnsi" w:hAnsiTheme="minorHAnsi" w:cstheme="minorHAnsi"/>
          <w:sz w:val="22"/>
          <w:szCs w:val="22"/>
        </w:rPr>
      </w:pPr>
      <w:r w:rsidRPr="00BE1813">
        <w:rPr>
          <w:rFonts w:asciiTheme="minorHAnsi" w:hAnsiTheme="minorHAnsi" w:cstheme="minorHAnsi"/>
          <w:sz w:val="22"/>
          <w:szCs w:val="22"/>
        </w:rPr>
        <w:t>Scope of the Grants</w:t>
      </w:r>
    </w:p>
    <w:p w:rsidR="00E31603" w:rsidRDefault="00E31603" w:rsidP="00E31603">
      <w:pPr>
        <w:rPr>
          <w:rFonts w:cstheme="minorHAnsi"/>
        </w:rPr>
      </w:pPr>
      <w:r w:rsidRPr="00BE1813">
        <w:rPr>
          <w:rFonts w:cstheme="minorHAnsi"/>
        </w:rPr>
        <w:t xml:space="preserve">The </w:t>
      </w:r>
      <w:r>
        <w:rPr>
          <w:rFonts w:cstheme="minorHAnsi"/>
        </w:rPr>
        <w:t xml:space="preserve">Defence West WA Defence-Ready Initiative is to support defence related improvements in business capabilities for SMEs. Funds can be applied to include, but is not limited to: </w:t>
      </w:r>
    </w:p>
    <w:p w:rsidR="00E31603" w:rsidRDefault="00E31603" w:rsidP="00E31603">
      <w:pPr>
        <w:pStyle w:val="BodyText"/>
        <w:numPr>
          <w:ilvl w:val="0"/>
          <w:numId w:val="2"/>
        </w:numPr>
        <w:spacing w:after="120"/>
        <w:rPr>
          <w:rFonts w:cstheme="minorHAnsi"/>
        </w:rPr>
      </w:pPr>
      <w:r w:rsidRPr="00BE1813">
        <w:rPr>
          <w:rFonts w:cstheme="minorHAnsi"/>
        </w:rPr>
        <w:t xml:space="preserve">The </w:t>
      </w:r>
      <w:r>
        <w:rPr>
          <w:rFonts w:cstheme="minorHAnsi"/>
        </w:rPr>
        <w:t>Improvement of a business capability to comply with Defence requirements</w:t>
      </w:r>
    </w:p>
    <w:p w:rsidR="00E31603" w:rsidRPr="00BE1813" w:rsidRDefault="00E31603" w:rsidP="00E31603">
      <w:pPr>
        <w:pStyle w:val="BodyText"/>
        <w:numPr>
          <w:ilvl w:val="1"/>
          <w:numId w:val="2"/>
        </w:numPr>
        <w:spacing w:after="120"/>
        <w:rPr>
          <w:rFonts w:cstheme="minorHAnsi"/>
        </w:rPr>
      </w:pPr>
      <w:r>
        <w:rPr>
          <w:rFonts w:cstheme="minorHAnsi"/>
        </w:rPr>
        <w:t>Cyber security upgrades</w:t>
      </w:r>
    </w:p>
    <w:p w:rsidR="00E31603" w:rsidRPr="00BE1813" w:rsidRDefault="00E31603" w:rsidP="00E31603">
      <w:pPr>
        <w:pStyle w:val="BodyText"/>
        <w:numPr>
          <w:ilvl w:val="1"/>
          <w:numId w:val="2"/>
        </w:numPr>
        <w:spacing w:after="120"/>
        <w:rPr>
          <w:rFonts w:cstheme="minorHAnsi"/>
        </w:rPr>
      </w:pPr>
      <w:r>
        <w:rPr>
          <w:rFonts w:cstheme="minorHAnsi"/>
        </w:rPr>
        <w:t>Certifications</w:t>
      </w:r>
    </w:p>
    <w:p w:rsidR="00E31603" w:rsidRPr="00BE1813" w:rsidRDefault="00E31603" w:rsidP="00E31603">
      <w:pPr>
        <w:pStyle w:val="BodyText"/>
        <w:numPr>
          <w:ilvl w:val="1"/>
          <w:numId w:val="2"/>
        </w:numPr>
        <w:spacing w:after="120"/>
        <w:rPr>
          <w:rFonts w:cstheme="minorHAnsi"/>
        </w:rPr>
      </w:pPr>
      <w:r>
        <w:rPr>
          <w:rFonts w:cstheme="minorHAnsi"/>
        </w:rPr>
        <w:t>Defence Industry Security Program (DISP) improvements</w:t>
      </w:r>
    </w:p>
    <w:p w:rsidR="00E31603" w:rsidRDefault="00E31603" w:rsidP="00E31603">
      <w:pPr>
        <w:pStyle w:val="BodyText"/>
        <w:spacing w:after="120"/>
        <w:rPr>
          <w:rFonts w:cstheme="minorHAnsi"/>
        </w:rPr>
      </w:pPr>
      <w:r>
        <w:rPr>
          <w:rFonts w:cstheme="minorHAnsi"/>
        </w:rPr>
        <w:t xml:space="preserve">Note: Funding is not to be utilised to improve a business’s product, but the infrastructure within the business </w:t>
      </w:r>
    </w:p>
    <w:p w:rsidR="00E31603" w:rsidRPr="00BE1813" w:rsidRDefault="00E31603" w:rsidP="00E31603">
      <w:pPr>
        <w:pStyle w:val="BodyText"/>
        <w:numPr>
          <w:ilvl w:val="0"/>
          <w:numId w:val="2"/>
        </w:numPr>
        <w:spacing w:after="120"/>
        <w:rPr>
          <w:rFonts w:cstheme="minorHAnsi"/>
        </w:rPr>
      </w:pPr>
      <w:r>
        <w:rPr>
          <w:rFonts w:cstheme="minorHAnsi"/>
        </w:rPr>
        <w:t>Engagement with Defence sector</w:t>
      </w:r>
    </w:p>
    <w:p w:rsidR="00E31603" w:rsidRPr="00BE1813" w:rsidRDefault="00E31603" w:rsidP="00E31603">
      <w:pPr>
        <w:pStyle w:val="BodyText"/>
        <w:numPr>
          <w:ilvl w:val="1"/>
          <w:numId w:val="2"/>
        </w:numPr>
        <w:spacing w:after="120"/>
        <w:rPr>
          <w:rFonts w:cstheme="minorHAnsi"/>
        </w:rPr>
      </w:pPr>
      <w:r>
        <w:rPr>
          <w:rFonts w:cstheme="minorHAnsi"/>
        </w:rPr>
        <w:t>Defence related conferences</w:t>
      </w:r>
    </w:p>
    <w:p w:rsidR="00E31603" w:rsidRPr="00BE1813" w:rsidRDefault="00E31603" w:rsidP="00E31603">
      <w:pPr>
        <w:pStyle w:val="BodyText"/>
        <w:numPr>
          <w:ilvl w:val="1"/>
          <w:numId w:val="2"/>
        </w:numPr>
        <w:spacing w:after="120"/>
        <w:rPr>
          <w:rFonts w:cstheme="minorHAnsi"/>
        </w:rPr>
      </w:pPr>
      <w:r>
        <w:rPr>
          <w:rFonts w:cstheme="minorHAnsi"/>
        </w:rPr>
        <w:t>Defence related workshops, webinars</w:t>
      </w:r>
    </w:p>
    <w:p w:rsidR="00E31603" w:rsidRPr="00BE1813" w:rsidRDefault="00E31603" w:rsidP="00E31603">
      <w:pPr>
        <w:pStyle w:val="Heading2"/>
        <w:rPr>
          <w:rFonts w:asciiTheme="minorHAnsi" w:hAnsiTheme="minorHAnsi" w:cstheme="minorHAnsi"/>
          <w:sz w:val="22"/>
          <w:szCs w:val="22"/>
        </w:rPr>
      </w:pPr>
      <w:r w:rsidRPr="00BE1813">
        <w:rPr>
          <w:rFonts w:asciiTheme="minorHAnsi" w:hAnsiTheme="minorHAnsi" w:cstheme="minorHAnsi"/>
          <w:sz w:val="22"/>
          <w:szCs w:val="22"/>
        </w:rPr>
        <w:t>Attributes</w:t>
      </w:r>
    </w:p>
    <w:p w:rsidR="00E31603" w:rsidRPr="00BE1813" w:rsidRDefault="00E31603" w:rsidP="00E31603">
      <w:pPr>
        <w:pStyle w:val="BodyText"/>
        <w:rPr>
          <w:rFonts w:cstheme="minorHAnsi"/>
        </w:rPr>
      </w:pPr>
      <w:r w:rsidRPr="00BE1813">
        <w:rPr>
          <w:rFonts w:cstheme="minorHAnsi"/>
        </w:rPr>
        <w:t xml:space="preserve">Funding under the </w:t>
      </w:r>
      <w:r>
        <w:rPr>
          <w:rFonts w:cstheme="minorHAnsi"/>
        </w:rPr>
        <w:t xml:space="preserve">Defence-Ready Initiative </w:t>
      </w:r>
      <w:r w:rsidRPr="00BE1813">
        <w:rPr>
          <w:rFonts w:cstheme="minorHAnsi"/>
        </w:rPr>
        <w:t>is made available in order to further the objectives of D</w:t>
      </w:r>
      <w:r>
        <w:rPr>
          <w:rFonts w:cstheme="minorHAnsi"/>
        </w:rPr>
        <w:t>efence West</w:t>
      </w:r>
      <w:r w:rsidRPr="00BE1813">
        <w:rPr>
          <w:rFonts w:cstheme="minorHAnsi"/>
        </w:rPr>
        <w:t>. In order that an assessment of applications can be made consistent with these objectives, a list of the attributes desired in</w:t>
      </w:r>
      <w:r>
        <w:rPr>
          <w:rFonts w:cstheme="minorHAnsi"/>
        </w:rPr>
        <w:t xml:space="preserve"> business capability improvements</w:t>
      </w:r>
      <w:r w:rsidRPr="00BE1813">
        <w:rPr>
          <w:rFonts w:cstheme="minorHAnsi"/>
        </w:rPr>
        <w:t xml:space="preserve"> has been developed. The attributes were developed </w:t>
      </w:r>
      <w:r>
        <w:rPr>
          <w:rFonts w:cstheme="minorHAnsi"/>
        </w:rPr>
        <w:t>by Defence West Industry Development team.</w:t>
      </w:r>
      <w:r w:rsidRPr="00A31FDC">
        <w:rPr>
          <w:rFonts w:cstheme="minorHAnsi"/>
          <w:strike/>
        </w:rPr>
        <w:t xml:space="preserve"> </w:t>
      </w:r>
    </w:p>
    <w:p w:rsidR="00E31603" w:rsidRDefault="00E31603" w:rsidP="00E31603">
      <w:pPr>
        <w:pStyle w:val="BodyText"/>
        <w:rPr>
          <w:rFonts w:cstheme="minorHAnsi"/>
        </w:rPr>
      </w:pPr>
    </w:p>
    <w:p w:rsidR="00E31603" w:rsidRDefault="00E31603" w:rsidP="00E31603">
      <w:pPr>
        <w:pStyle w:val="BodyText"/>
        <w:rPr>
          <w:rFonts w:cstheme="minorHAnsi"/>
        </w:rPr>
      </w:pPr>
    </w:p>
    <w:p w:rsidR="00E31603" w:rsidRDefault="00E31603" w:rsidP="00E31603">
      <w:pPr>
        <w:pStyle w:val="BodyText"/>
        <w:rPr>
          <w:rFonts w:cstheme="minorHAnsi"/>
        </w:rPr>
      </w:pPr>
    </w:p>
    <w:p w:rsidR="00E31603" w:rsidRPr="00BE1813" w:rsidRDefault="00E31603" w:rsidP="00E31603">
      <w:pPr>
        <w:pStyle w:val="BodyText"/>
        <w:rPr>
          <w:rFonts w:cstheme="minorHAnsi"/>
        </w:rPr>
      </w:pPr>
      <w:r>
        <w:rPr>
          <w:rFonts w:cstheme="minorHAnsi"/>
        </w:rPr>
        <w:t xml:space="preserve">Proposals </w:t>
      </w:r>
      <w:r w:rsidRPr="00BE1813">
        <w:rPr>
          <w:rFonts w:cstheme="minorHAnsi"/>
        </w:rPr>
        <w:t xml:space="preserve">supported by </w:t>
      </w:r>
      <w:r>
        <w:rPr>
          <w:rFonts w:cstheme="minorHAnsi"/>
        </w:rPr>
        <w:t>Defence West funding</w:t>
      </w:r>
      <w:r w:rsidRPr="00BE1813">
        <w:rPr>
          <w:rFonts w:cstheme="minorHAnsi"/>
        </w:rPr>
        <w:t xml:space="preserve"> will</w:t>
      </w:r>
      <w:r>
        <w:rPr>
          <w:rFonts w:cstheme="minorHAnsi"/>
        </w:rPr>
        <w:t>:</w:t>
      </w:r>
    </w:p>
    <w:p w:rsidR="00E31603" w:rsidRPr="001E0B58" w:rsidRDefault="00E31603" w:rsidP="00E31603">
      <w:pPr>
        <w:pStyle w:val="BodyText"/>
        <w:numPr>
          <w:ilvl w:val="0"/>
          <w:numId w:val="3"/>
        </w:numPr>
        <w:spacing w:after="120"/>
        <w:rPr>
          <w:rFonts w:cstheme="minorHAnsi"/>
        </w:rPr>
      </w:pPr>
      <w:r w:rsidRPr="001E0B58">
        <w:rPr>
          <w:rFonts w:cstheme="minorHAnsi"/>
          <w:b/>
        </w:rPr>
        <w:t>Have a working relationship or aspire for a working relationship</w:t>
      </w:r>
      <w:r>
        <w:rPr>
          <w:rFonts w:cstheme="minorHAnsi"/>
          <w:b/>
        </w:rPr>
        <w:t xml:space="preserve"> within the defence sector</w:t>
      </w:r>
    </w:p>
    <w:p w:rsidR="00E31603" w:rsidRPr="001E0B58" w:rsidRDefault="00E31603" w:rsidP="00E31603">
      <w:pPr>
        <w:pStyle w:val="BodyText"/>
        <w:numPr>
          <w:ilvl w:val="0"/>
          <w:numId w:val="3"/>
        </w:numPr>
        <w:spacing w:after="120"/>
        <w:rPr>
          <w:rFonts w:cstheme="minorHAnsi"/>
        </w:rPr>
      </w:pPr>
      <w:r w:rsidRPr="001E0B58">
        <w:rPr>
          <w:rFonts w:cstheme="minorHAnsi"/>
          <w:b/>
        </w:rPr>
        <w:t xml:space="preserve">Be in scope. </w:t>
      </w:r>
      <w:r w:rsidRPr="001E0B58">
        <w:rPr>
          <w:rFonts w:cstheme="minorHAnsi"/>
        </w:rPr>
        <w:t>As defined above.</w:t>
      </w:r>
    </w:p>
    <w:p w:rsidR="00E31603" w:rsidRPr="00BE1813" w:rsidRDefault="00E31603" w:rsidP="00E31603">
      <w:pPr>
        <w:pStyle w:val="BodyText"/>
        <w:numPr>
          <w:ilvl w:val="0"/>
          <w:numId w:val="3"/>
        </w:numPr>
        <w:spacing w:after="120"/>
        <w:rPr>
          <w:rFonts w:cstheme="minorHAnsi"/>
        </w:rPr>
      </w:pPr>
      <w:r>
        <w:rPr>
          <w:rFonts w:cstheme="minorHAnsi"/>
          <w:b/>
        </w:rPr>
        <w:t>Demonstrate a Defence requirement for business capability improvement</w:t>
      </w:r>
    </w:p>
    <w:p w:rsidR="00E31603" w:rsidRPr="00BE1813" w:rsidRDefault="00E31603" w:rsidP="00E31603">
      <w:pPr>
        <w:pStyle w:val="BodyText"/>
        <w:numPr>
          <w:ilvl w:val="0"/>
          <w:numId w:val="3"/>
        </w:numPr>
        <w:spacing w:after="120"/>
        <w:rPr>
          <w:rFonts w:cstheme="minorHAnsi"/>
        </w:rPr>
      </w:pPr>
      <w:r w:rsidRPr="00BE1813">
        <w:rPr>
          <w:rFonts w:cstheme="minorHAnsi"/>
          <w:b/>
        </w:rPr>
        <w:t>Have a contribution in cash or in-kind</w:t>
      </w:r>
      <w:r w:rsidRPr="00BE1813">
        <w:rPr>
          <w:rFonts w:cstheme="minorHAnsi"/>
        </w:rPr>
        <w:t xml:space="preserve">. Up to a level matching the request in the application. </w:t>
      </w:r>
    </w:p>
    <w:p w:rsidR="00E31603" w:rsidRPr="00BE1813" w:rsidRDefault="00E31603" w:rsidP="00E31603">
      <w:pPr>
        <w:pStyle w:val="BodyText"/>
        <w:numPr>
          <w:ilvl w:val="0"/>
          <w:numId w:val="4"/>
        </w:numPr>
        <w:spacing w:after="120"/>
        <w:rPr>
          <w:rFonts w:cstheme="minorHAnsi"/>
        </w:rPr>
      </w:pPr>
      <w:r w:rsidRPr="00BE1813">
        <w:rPr>
          <w:rFonts w:cstheme="minorHAnsi"/>
          <w:b/>
        </w:rPr>
        <w:t xml:space="preserve">Achieve significant impact in relation to </w:t>
      </w:r>
      <w:r>
        <w:rPr>
          <w:rFonts w:cstheme="minorHAnsi"/>
          <w:b/>
        </w:rPr>
        <w:t>becoming ‘defence-ready’ and subsequently entering or advancing their capabilities within the defence supply chain.</w:t>
      </w:r>
    </w:p>
    <w:p w:rsidR="00E31603" w:rsidRPr="00BE1813" w:rsidRDefault="00E31603" w:rsidP="00E31603">
      <w:pPr>
        <w:pStyle w:val="BodyText"/>
        <w:spacing w:after="120"/>
        <w:rPr>
          <w:rFonts w:cstheme="minorHAnsi"/>
        </w:rPr>
      </w:pPr>
      <w:r w:rsidRPr="00BE1813">
        <w:rPr>
          <w:rFonts w:cstheme="minorHAnsi"/>
        </w:rPr>
        <w:t>Further interpretation of the attributes and how these are assessed is presented in the discussion of each selection criteria.</w:t>
      </w:r>
    </w:p>
    <w:p w:rsidR="00E31603" w:rsidRPr="00BE1813" w:rsidRDefault="00E31603" w:rsidP="00E31603">
      <w:pPr>
        <w:pStyle w:val="Heading2"/>
        <w:rPr>
          <w:rFonts w:asciiTheme="minorHAnsi" w:hAnsiTheme="minorHAnsi" w:cstheme="minorHAnsi"/>
          <w:sz w:val="22"/>
          <w:szCs w:val="22"/>
        </w:rPr>
      </w:pPr>
      <w:r w:rsidRPr="00BE1813">
        <w:rPr>
          <w:rFonts w:asciiTheme="minorHAnsi" w:hAnsiTheme="minorHAnsi" w:cstheme="minorHAnsi"/>
          <w:sz w:val="22"/>
          <w:szCs w:val="22"/>
        </w:rPr>
        <w:t>Selection Criteria</w:t>
      </w:r>
    </w:p>
    <w:p w:rsidR="00E31603" w:rsidRPr="00BE1813" w:rsidRDefault="00E31603" w:rsidP="00E31603">
      <w:pPr>
        <w:pStyle w:val="Heading3"/>
        <w:numPr>
          <w:ilvl w:val="0"/>
          <w:numId w:val="5"/>
        </w:numPr>
        <w:spacing w:before="200" w:after="160"/>
        <w:rPr>
          <w:rFonts w:asciiTheme="minorHAnsi" w:hAnsiTheme="minorHAnsi" w:cstheme="minorHAnsi"/>
          <w:sz w:val="22"/>
          <w:szCs w:val="22"/>
        </w:rPr>
      </w:pPr>
      <w:r w:rsidRPr="00BE1813">
        <w:rPr>
          <w:rFonts w:asciiTheme="minorHAnsi" w:hAnsiTheme="minorHAnsi" w:cstheme="minorHAnsi"/>
          <w:sz w:val="22"/>
          <w:szCs w:val="22"/>
        </w:rPr>
        <w:t>In Scope</w:t>
      </w:r>
    </w:p>
    <w:p w:rsidR="00E31603" w:rsidRPr="00BE1813" w:rsidRDefault="00E31603" w:rsidP="00E31603">
      <w:pPr>
        <w:rPr>
          <w:rFonts w:cstheme="minorHAnsi"/>
          <w:b/>
        </w:rPr>
      </w:pPr>
      <w:r w:rsidRPr="00BE1813">
        <w:rPr>
          <w:rFonts w:cstheme="minorHAnsi"/>
          <w:b/>
        </w:rPr>
        <w:t>(This criterion addresses attributes 1 and 2)</w:t>
      </w:r>
    </w:p>
    <w:p w:rsidR="00E31603" w:rsidRPr="00BE1813" w:rsidRDefault="00E31603" w:rsidP="00E31603">
      <w:pPr>
        <w:pStyle w:val="BodyText"/>
        <w:rPr>
          <w:rFonts w:cstheme="minorHAnsi"/>
        </w:rPr>
      </w:pPr>
      <w:r w:rsidRPr="00BE1813">
        <w:rPr>
          <w:rFonts w:cstheme="minorHAnsi"/>
        </w:rPr>
        <w:t>In the context of this selection criteria the statement “</w:t>
      </w:r>
      <w:r>
        <w:rPr>
          <w:rFonts w:cstheme="minorHAnsi"/>
        </w:rPr>
        <w:t>Of value or interest to Defence</w:t>
      </w:r>
      <w:r w:rsidRPr="00BE1813">
        <w:rPr>
          <w:rFonts w:cstheme="minorHAnsi"/>
        </w:rPr>
        <w:t xml:space="preserve">” means that the </w:t>
      </w:r>
      <w:r>
        <w:rPr>
          <w:rFonts w:cstheme="minorHAnsi"/>
        </w:rPr>
        <w:t xml:space="preserve">business capability is aligned to the capability streams that have been refined into five operational domains: Information and Cyber, Maritime, Air, Space, and Land as outlined in the Commonwealth 2020 Force Structure Plan. </w:t>
      </w:r>
    </w:p>
    <w:p w:rsidR="00E31603" w:rsidRPr="00BE1813" w:rsidRDefault="00E31603" w:rsidP="00E31603">
      <w:pPr>
        <w:pStyle w:val="BodyText"/>
        <w:ind w:left="426"/>
        <w:rPr>
          <w:rFonts w:cstheme="minorHAnsi"/>
          <w:b/>
        </w:rPr>
      </w:pPr>
      <w:r w:rsidRPr="00BE1813">
        <w:rPr>
          <w:rFonts w:cstheme="minorHAnsi"/>
          <w:b/>
          <w:i/>
        </w:rPr>
        <w:t>Applications are assessed to be in scope or out of scope. Applications out of scope are not progressed further.</w:t>
      </w:r>
    </w:p>
    <w:p w:rsidR="00E31603" w:rsidRPr="00BE1813" w:rsidRDefault="00E31603" w:rsidP="00E31603">
      <w:pPr>
        <w:pStyle w:val="Heading3"/>
        <w:numPr>
          <w:ilvl w:val="0"/>
          <w:numId w:val="5"/>
        </w:numPr>
        <w:spacing w:before="200" w:after="160"/>
        <w:rPr>
          <w:rFonts w:asciiTheme="minorHAnsi" w:hAnsiTheme="minorHAnsi" w:cstheme="minorHAnsi"/>
          <w:sz w:val="22"/>
          <w:szCs w:val="22"/>
        </w:rPr>
      </w:pPr>
      <w:r w:rsidRPr="00BE1813">
        <w:rPr>
          <w:rFonts w:asciiTheme="minorHAnsi" w:hAnsiTheme="minorHAnsi" w:cstheme="minorHAnsi"/>
          <w:sz w:val="22"/>
          <w:szCs w:val="22"/>
        </w:rPr>
        <w:t>Collaboration</w:t>
      </w:r>
    </w:p>
    <w:p w:rsidR="00E31603" w:rsidRPr="00BE1813" w:rsidRDefault="00E31603" w:rsidP="00E31603">
      <w:pPr>
        <w:spacing w:after="200" w:line="276" w:lineRule="auto"/>
        <w:rPr>
          <w:rFonts w:cstheme="minorHAnsi"/>
          <w:b/>
        </w:rPr>
      </w:pPr>
      <w:r w:rsidRPr="00BE1813">
        <w:rPr>
          <w:rFonts w:cstheme="minorHAnsi"/>
          <w:b/>
        </w:rPr>
        <w:t>(This criterion addresses attribute 3)</w:t>
      </w:r>
    </w:p>
    <w:p w:rsidR="00E31603" w:rsidRPr="00BE1813" w:rsidRDefault="00E31603" w:rsidP="00E31603">
      <w:pPr>
        <w:pStyle w:val="NoSpacing"/>
        <w:rPr>
          <w:rFonts w:cstheme="minorHAnsi"/>
        </w:rPr>
      </w:pPr>
      <w:r w:rsidRPr="00BE1813">
        <w:rPr>
          <w:rFonts w:cstheme="minorHAnsi"/>
        </w:rPr>
        <w:t>The highest score is assigned to applications that</w:t>
      </w:r>
      <w:r>
        <w:rPr>
          <w:rFonts w:cstheme="minorHAnsi"/>
        </w:rPr>
        <w:t xml:space="preserve"> clearly</w:t>
      </w:r>
      <w:r w:rsidRPr="00BE1813">
        <w:rPr>
          <w:rFonts w:cstheme="minorHAnsi"/>
        </w:rPr>
        <w:t xml:space="preserve"> </w:t>
      </w:r>
      <w:r>
        <w:rPr>
          <w:rFonts w:cstheme="minorHAnsi"/>
        </w:rPr>
        <w:t xml:space="preserve">demonstrates that improvements to specific areas of business capability will meet the requirements of Defence, and assist the business in becoming ‘defence-ready’. Submissions will need to outline how undertaking proposed activities will subsequently enter or advance capabilities within the defence supply chain. </w:t>
      </w:r>
      <w:r w:rsidRPr="00BE1813">
        <w:rPr>
          <w:rFonts w:cstheme="minorHAnsi"/>
        </w:rPr>
        <w:t xml:space="preserve">Note </w:t>
      </w:r>
      <w:r>
        <w:rPr>
          <w:rFonts w:cstheme="minorHAnsi"/>
        </w:rPr>
        <w:t xml:space="preserve">businesses that demonstrate engagement with Centre for Defence industry Capability weighted favourably but not a requirement. </w:t>
      </w:r>
    </w:p>
    <w:p w:rsidR="00E31603" w:rsidRPr="00BE1813" w:rsidRDefault="00E31603" w:rsidP="00E31603">
      <w:pPr>
        <w:pStyle w:val="NoSpacing"/>
        <w:rPr>
          <w:rFonts w:cstheme="minorHAnsi"/>
        </w:rPr>
      </w:pPr>
    </w:p>
    <w:tbl>
      <w:tblPr>
        <w:tblStyle w:val="TableGrid"/>
        <w:tblW w:w="0" w:type="auto"/>
        <w:tblLook w:val="04A0" w:firstRow="1" w:lastRow="0" w:firstColumn="1" w:lastColumn="0" w:noHBand="0" w:noVBand="1"/>
      </w:tblPr>
      <w:tblGrid>
        <w:gridCol w:w="988"/>
        <w:gridCol w:w="1160"/>
        <w:gridCol w:w="6868"/>
      </w:tblGrid>
      <w:tr w:rsidR="00E31603" w:rsidRPr="00BE1813" w:rsidTr="0016165B">
        <w:tc>
          <w:tcPr>
            <w:tcW w:w="988" w:type="dxa"/>
            <w:shd w:val="clear" w:color="auto" w:fill="F7CAAC" w:themeFill="accent2" w:themeFillTint="66"/>
          </w:tcPr>
          <w:p w:rsidR="00E31603" w:rsidRPr="00BE1813" w:rsidRDefault="00E31603" w:rsidP="0016165B">
            <w:pPr>
              <w:pStyle w:val="NoSpacing"/>
              <w:rPr>
                <w:rFonts w:cstheme="minorHAnsi"/>
                <w:sz w:val="22"/>
                <w:szCs w:val="22"/>
              </w:rPr>
            </w:pPr>
            <w:r w:rsidRPr="00BE1813">
              <w:rPr>
                <w:rFonts w:cstheme="minorHAnsi"/>
                <w:sz w:val="22"/>
                <w:szCs w:val="22"/>
              </w:rPr>
              <w:t>Score</w:t>
            </w:r>
          </w:p>
        </w:tc>
        <w:tc>
          <w:tcPr>
            <w:tcW w:w="1160" w:type="dxa"/>
            <w:shd w:val="clear" w:color="auto" w:fill="F7CAAC" w:themeFill="accent2" w:themeFillTint="66"/>
          </w:tcPr>
          <w:p w:rsidR="00E31603" w:rsidRPr="00BE1813" w:rsidRDefault="00E31603" w:rsidP="0016165B">
            <w:pPr>
              <w:pStyle w:val="NoSpacing"/>
              <w:rPr>
                <w:rFonts w:cstheme="minorHAnsi"/>
                <w:sz w:val="22"/>
                <w:szCs w:val="22"/>
              </w:rPr>
            </w:pPr>
            <w:r w:rsidRPr="00BE1813">
              <w:rPr>
                <w:rFonts w:cstheme="minorHAnsi"/>
                <w:sz w:val="22"/>
                <w:szCs w:val="22"/>
              </w:rPr>
              <w:t>Level</w:t>
            </w:r>
          </w:p>
        </w:tc>
        <w:tc>
          <w:tcPr>
            <w:tcW w:w="6868" w:type="dxa"/>
            <w:shd w:val="clear" w:color="auto" w:fill="F7CAAC" w:themeFill="accent2" w:themeFillTint="66"/>
          </w:tcPr>
          <w:p w:rsidR="00E31603" w:rsidRPr="00BE1813" w:rsidRDefault="00E31603" w:rsidP="0016165B">
            <w:pPr>
              <w:pStyle w:val="NoSpacing"/>
              <w:rPr>
                <w:rFonts w:cstheme="minorHAnsi"/>
                <w:sz w:val="22"/>
                <w:szCs w:val="22"/>
              </w:rPr>
            </w:pPr>
            <w:r w:rsidRPr="00BE1813">
              <w:rPr>
                <w:rFonts w:cstheme="minorHAnsi"/>
                <w:sz w:val="22"/>
                <w:szCs w:val="22"/>
              </w:rPr>
              <w:t>Examples</w:t>
            </w:r>
          </w:p>
        </w:tc>
      </w:tr>
      <w:tr w:rsidR="00E31603" w:rsidRPr="00BE1813" w:rsidTr="0016165B">
        <w:tc>
          <w:tcPr>
            <w:tcW w:w="988" w:type="dxa"/>
          </w:tcPr>
          <w:p w:rsidR="00E31603" w:rsidRPr="00BE1813" w:rsidRDefault="00E31603" w:rsidP="0016165B">
            <w:pPr>
              <w:pStyle w:val="NoSpacing"/>
              <w:rPr>
                <w:rFonts w:cstheme="minorHAnsi"/>
                <w:sz w:val="22"/>
                <w:szCs w:val="22"/>
              </w:rPr>
            </w:pPr>
            <w:r w:rsidRPr="00BE1813">
              <w:rPr>
                <w:rFonts w:cstheme="minorHAnsi"/>
                <w:sz w:val="22"/>
                <w:szCs w:val="22"/>
              </w:rPr>
              <w:t>0</w:t>
            </w:r>
          </w:p>
        </w:tc>
        <w:tc>
          <w:tcPr>
            <w:tcW w:w="1160" w:type="dxa"/>
          </w:tcPr>
          <w:p w:rsidR="00E31603" w:rsidRPr="00BE1813" w:rsidRDefault="00E31603" w:rsidP="0016165B">
            <w:pPr>
              <w:pStyle w:val="NoSpacing"/>
              <w:rPr>
                <w:rFonts w:cstheme="minorHAnsi"/>
                <w:sz w:val="22"/>
                <w:szCs w:val="22"/>
              </w:rPr>
            </w:pPr>
            <w:r w:rsidRPr="00BE1813">
              <w:rPr>
                <w:rFonts w:cstheme="minorHAnsi"/>
                <w:sz w:val="22"/>
                <w:szCs w:val="22"/>
              </w:rPr>
              <w:t>Low</w:t>
            </w:r>
          </w:p>
        </w:tc>
        <w:tc>
          <w:tcPr>
            <w:tcW w:w="6868" w:type="dxa"/>
          </w:tcPr>
          <w:p w:rsidR="00E31603" w:rsidRPr="00BE1813" w:rsidRDefault="00E31603" w:rsidP="0016165B">
            <w:pPr>
              <w:pStyle w:val="NoSpacing"/>
              <w:rPr>
                <w:rFonts w:cstheme="minorHAnsi"/>
                <w:sz w:val="22"/>
                <w:szCs w:val="22"/>
              </w:rPr>
            </w:pPr>
            <w:r>
              <w:rPr>
                <w:rFonts w:cstheme="minorHAnsi"/>
                <w:color w:val="000000"/>
                <w:sz w:val="22"/>
                <w:szCs w:val="22"/>
              </w:rPr>
              <w:t>Poor demonstration of how undertaking proposed improvements to business capability will meet Defence requirements.</w:t>
            </w:r>
          </w:p>
        </w:tc>
      </w:tr>
      <w:tr w:rsidR="00E31603" w:rsidRPr="00BE1813" w:rsidTr="0016165B">
        <w:tc>
          <w:tcPr>
            <w:tcW w:w="988" w:type="dxa"/>
          </w:tcPr>
          <w:p w:rsidR="00E31603" w:rsidRPr="00BE1813" w:rsidRDefault="00E31603" w:rsidP="0016165B">
            <w:pPr>
              <w:pStyle w:val="NoSpacing"/>
              <w:rPr>
                <w:rFonts w:cstheme="minorHAnsi"/>
                <w:sz w:val="22"/>
                <w:szCs w:val="22"/>
              </w:rPr>
            </w:pPr>
            <w:r w:rsidRPr="00BE1813">
              <w:rPr>
                <w:rFonts w:cstheme="minorHAnsi"/>
                <w:sz w:val="22"/>
                <w:szCs w:val="22"/>
              </w:rPr>
              <w:t>5</w:t>
            </w:r>
          </w:p>
        </w:tc>
        <w:tc>
          <w:tcPr>
            <w:tcW w:w="1160" w:type="dxa"/>
          </w:tcPr>
          <w:p w:rsidR="00E31603" w:rsidRPr="00BE1813" w:rsidRDefault="00E31603" w:rsidP="0016165B">
            <w:pPr>
              <w:pStyle w:val="NoSpacing"/>
              <w:rPr>
                <w:rFonts w:cstheme="minorHAnsi"/>
                <w:sz w:val="22"/>
                <w:szCs w:val="22"/>
              </w:rPr>
            </w:pPr>
            <w:r w:rsidRPr="00BE1813">
              <w:rPr>
                <w:rFonts w:cstheme="minorHAnsi"/>
                <w:sz w:val="22"/>
                <w:szCs w:val="22"/>
              </w:rPr>
              <w:t>Good</w:t>
            </w:r>
          </w:p>
        </w:tc>
        <w:tc>
          <w:tcPr>
            <w:tcW w:w="6868" w:type="dxa"/>
          </w:tcPr>
          <w:p w:rsidR="00E31603" w:rsidRPr="00BE1813" w:rsidRDefault="00E31603" w:rsidP="0016165B">
            <w:pPr>
              <w:pStyle w:val="NoSpacing"/>
              <w:rPr>
                <w:rFonts w:cstheme="minorHAnsi"/>
                <w:sz w:val="22"/>
                <w:szCs w:val="22"/>
              </w:rPr>
            </w:pPr>
            <w:r>
              <w:rPr>
                <w:rFonts w:cstheme="minorHAnsi"/>
                <w:color w:val="000000"/>
                <w:sz w:val="22"/>
                <w:szCs w:val="22"/>
              </w:rPr>
              <w:t>Demonstration that undertaking improvements in specific areas of business capability will assist in meeting Defence requirements.</w:t>
            </w:r>
          </w:p>
        </w:tc>
      </w:tr>
      <w:tr w:rsidR="00E31603" w:rsidRPr="00BE1813" w:rsidTr="0016165B">
        <w:tc>
          <w:tcPr>
            <w:tcW w:w="988" w:type="dxa"/>
          </w:tcPr>
          <w:p w:rsidR="00E31603" w:rsidRPr="00BE1813" w:rsidRDefault="00E31603" w:rsidP="0016165B">
            <w:pPr>
              <w:pStyle w:val="NoSpacing"/>
              <w:rPr>
                <w:rFonts w:cstheme="minorHAnsi"/>
                <w:sz w:val="22"/>
                <w:szCs w:val="22"/>
              </w:rPr>
            </w:pPr>
            <w:r w:rsidRPr="00BE1813">
              <w:rPr>
                <w:rFonts w:cstheme="minorHAnsi"/>
                <w:sz w:val="22"/>
                <w:szCs w:val="22"/>
              </w:rPr>
              <w:t>10</w:t>
            </w:r>
          </w:p>
        </w:tc>
        <w:tc>
          <w:tcPr>
            <w:tcW w:w="1160" w:type="dxa"/>
          </w:tcPr>
          <w:p w:rsidR="00E31603" w:rsidRPr="00BE1813" w:rsidRDefault="00E31603" w:rsidP="0016165B">
            <w:pPr>
              <w:pStyle w:val="NoSpacing"/>
              <w:rPr>
                <w:rFonts w:cstheme="minorHAnsi"/>
                <w:sz w:val="22"/>
                <w:szCs w:val="22"/>
              </w:rPr>
            </w:pPr>
            <w:r w:rsidRPr="00BE1813">
              <w:rPr>
                <w:rFonts w:cstheme="minorHAnsi"/>
                <w:sz w:val="22"/>
                <w:szCs w:val="22"/>
              </w:rPr>
              <w:t>Excellent</w:t>
            </w:r>
          </w:p>
        </w:tc>
        <w:tc>
          <w:tcPr>
            <w:tcW w:w="6868" w:type="dxa"/>
          </w:tcPr>
          <w:p w:rsidR="00E31603" w:rsidRPr="00BE1813" w:rsidRDefault="00E31603" w:rsidP="0016165B">
            <w:pPr>
              <w:pStyle w:val="NoSpacing"/>
              <w:rPr>
                <w:rFonts w:cstheme="minorHAnsi"/>
                <w:sz w:val="22"/>
                <w:szCs w:val="22"/>
              </w:rPr>
            </w:pPr>
            <w:r>
              <w:rPr>
                <w:rFonts w:cstheme="minorHAnsi"/>
                <w:color w:val="000000"/>
                <w:sz w:val="22"/>
                <w:szCs w:val="22"/>
              </w:rPr>
              <w:t xml:space="preserve">Clear demonstration that proposed improvements will meet Defence requirements and subsequently enter or advance capabilities within the defence supply chain. </w:t>
            </w:r>
          </w:p>
        </w:tc>
      </w:tr>
    </w:tbl>
    <w:p w:rsidR="00E31603" w:rsidRDefault="00E31603" w:rsidP="00E31603">
      <w:pPr>
        <w:pStyle w:val="Heading3"/>
        <w:spacing w:before="200" w:after="160"/>
        <w:ind w:left="360"/>
        <w:rPr>
          <w:rFonts w:asciiTheme="minorHAnsi" w:hAnsiTheme="minorHAnsi" w:cstheme="minorHAnsi"/>
          <w:sz w:val="22"/>
          <w:szCs w:val="22"/>
        </w:rPr>
      </w:pPr>
    </w:p>
    <w:p w:rsidR="00E31603" w:rsidRPr="00BE1813" w:rsidRDefault="00E31603" w:rsidP="00E31603">
      <w:pPr>
        <w:pStyle w:val="Heading3"/>
        <w:numPr>
          <w:ilvl w:val="0"/>
          <w:numId w:val="5"/>
        </w:numPr>
        <w:spacing w:before="200" w:after="160"/>
        <w:rPr>
          <w:rFonts w:asciiTheme="minorHAnsi" w:hAnsiTheme="minorHAnsi" w:cstheme="minorHAnsi"/>
          <w:sz w:val="22"/>
          <w:szCs w:val="22"/>
        </w:rPr>
      </w:pPr>
      <w:r w:rsidRPr="00BE1813">
        <w:rPr>
          <w:rFonts w:asciiTheme="minorHAnsi" w:hAnsiTheme="minorHAnsi" w:cstheme="minorHAnsi"/>
          <w:sz w:val="22"/>
          <w:szCs w:val="22"/>
        </w:rPr>
        <w:t>Co-contribution</w:t>
      </w:r>
    </w:p>
    <w:p w:rsidR="00E31603" w:rsidRPr="00BE1813" w:rsidRDefault="00E31603" w:rsidP="00E31603">
      <w:pPr>
        <w:spacing w:after="200" w:line="276" w:lineRule="auto"/>
        <w:rPr>
          <w:rFonts w:cstheme="minorHAnsi"/>
          <w:b/>
        </w:rPr>
      </w:pPr>
      <w:r w:rsidRPr="00BE1813">
        <w:rPr>
          <w:rFonts w:cstheme="minorHAnsi"/>
          <w:b/>
        </w:rPr>
        <w:t>(This criterion addresses attribute 4)</w:t>
      </w:r>
    </w:p>
    <w:p w:rsidR="00E31603" w:rsidRPr="00BE1813" w:rsidRDefault="00E31603" w:rsidP="00E31603">
      <w:pPr>
        <w:spacing w:after="200" w:line="276" w:lineRule="auto"/>
        <w:rPr>
          <w:rFonts w:cstheme="minorHAnsi"/>
        </w:rPr>
      </w:pPr>
      <w:r w:rsidRPr="00BE1813">
        <w:rPr>
          <w:rFonts w:cstheme="minorHAnsi"/>
        </w:rPr>
        <w:t xml:space="preserve">This criterion is used to indicate the level of importance attached to the </w:t>
      </w:r>
      <w:r>
        <w:rPr>
          <w:rFonts w:cstheme="minorHAnsi"/>
        </w:rPr>
        <w:t>business capability</w:t>
      </w:r>
      <w:r w:rsidRPr="00BE1813">
        <w:rPr>
          <w:rFonts w:cstheme="minorHAnsi"/>
        </w:rPr>
        <w:t xml:space="preserve"> by the proposer. Note that only co-contribution (cash or in-kind) up to the requested funding amount is considered under the selection criteria. This is in order to avoid potential bias resulting from participants with greater financial means. </w:t>
      </w:r>
      <w:bookmarkStart w:id="0" w:name="_GoBack"/>
      <w:bookmarkEnd w:id="0"/>
    </w:p>
    <w:tbl>
      <w:tblPr>
        <w:tblStyle w:val="TableGrid"/>
        <w:tblW w:w="0" w:type="auto"/>
        <w:tblLook w:val="04A0" w:firstRow="1" w:lastRow="0" w:firstColumn="1" w:lastColumn="0" w:noHBand="0" w:noVBand="1"/>
      </w:tblPr>
      <w:tblGrid>
        <w:gridCol w:w="988"/>
        <w:gridCol w:w="1160"/>
        <w:gridCol w:w="6868"/>
      </w:tblGrid>
      <w:tr w:rsidR="00E31603" w:rsidRPr="00BE1813" w:rsidTr="0016165B">
        <w:tc>
          <w:tcPr>
            <w:tcW w:w="988" w:type="dxa"/>
            <w:shd w:val="clear" w:color="auto" w:fill="F7CAAC" w:themeFill="accent2" w:themeFillTint="66"/>
          </w:tcPr>
          <w:p w:rsidR="00E31603" w:rsidRPr="00BE1813" w:rsidRDefault="00E31603" w:rsidP="0016165B">
            <w:pPr>
              <w:pStyle w:val="NoSpacing"/>
              <w:rPr>
                <w:rFonts w:cstheme="minorHAnsi"/>
                <w:sz w:val="22"/>
                <w:szCs w:val="22"/>
              </w:rPr>
            </w:pPr>
            <w:r w:rsidRPr="00BE1813">
              <w:rPr>
                <w:rFonts w:cstheme="minorHAnsi"/>
                <w:sz w:val="22"/>
                <w:szCs w:val="22"/>
              </w:rPr>
              <w:t>Score</w:t>
            </w:r>
          </w:p>
        </w:tc>
        <w:tc>
          <w:tcPr>
            <w:tcW w:w="1160" w:type="dxa"/>
            <w:shd w:val="clear" w:color="auto" w:fill="F7CAAC" w:themeFill="accent2" w:themeFillTint="66"/>
          </w:tcPr>
          <w:p w:rsidR="00E31603" w:rsidRPr="00BE1813" w:rsidRDefault="00E31603" w:rsidP="0016165B">
            <w:pPr>
              <w:pStyle w:val="NoSpacing"/>
              <w:rPr>
                <w:rFonts w:cstheme="minorHAnsi"/>
                <w:sz w:val="22"/>
                <w:szCs w:val="22"/>
              </w:rPr>
            </w:pPr>
            <w:r w:rsidRPr="00BE1813">
              <w:rPr>
                <w:rFonts w:cstheme="minorHAnsi"/>
                <w:sz w:val="22"/>
                <w:szCs w:val="22"/>
              </w:rPr>
              <w:t>Level</w:t>
            </w:r>
          </w:p>
        </w:tc>
        <w:tc>
          <w:tcPr>
            <w:tcW w:w="6868" w:type="dxa"/>
            <w:shd w:val="clear" w:color="auto" w:fill="F7CAAC" w:themeFill="accent2" w:themeFillTint="66"/>
          </w:tcPr>
          <w:p w:rsidR="00E31603" w:rsidRPr="00BE1813" w:rsidRDefault="00E31603" w:rsidP="0016165B">
            <w:pPr>
              <w:pStyle w:val="NoSpacing"/>
              <w:rPr>
                <w:rFonts w:cstheme="minorHAnsi"/>
                <w:sz w:val="22"/>
                <w:szCs w:val="22"/>
              </w:rPr>
            </w:pPr>
            <w:r w:rsidRPr="00BE1813">
              <w:rPr>
                <w:rFonts w:cstheme="minorHAnsi"/>
                <w:sz w:val="22"/>
                <w:szCs w:val="22"/>
              </w:rPr>
              <w:t>Examples</w:t>
            </w:r>
          </w:p>
        </w:tc>
      </w:tr>
      <w:tr w:rsidR="00E31603" w:rsidRPr="00BE1813" w:rsidTr="0016165B">
        <w:tc>
          <w:tcPr>
            <w:tcW w:w="988" w:type="dxa"/>
          </w:tcPr>
          <w:p w:rsidR="00E31603" w:rsidRPr="00BE1813" w:rsidRDefault="00E31603" w:rsidP="0016165B">
            <w:pPr>
              <w:pStyle w:val="NoSpacing"/>
              <w:rPr>
                <w:rFonts w:cstheme="minorHAnsi"/>
                <w:sz w:val="22"/>
                <w:szCs w:val="22"/>
              </w:rPr>
            </w:pPr>
            <w:r w:rsidRPr="00BE1813">
              <w:rPr>
                <w:rFonts w:cstheme="minorHAnsi"/>
                <w:sz w:val="22"/>
                <w:szCs w:val="22"/>
              </w:rPr>
              <w:t>0</w:t>
            </w:r>
          </w:p>
        </w:tc>
        <w:tc>
          <w:tcPr>
            <w:tcW w:w="1160" w:type="dxa"/>
          </w:tcPr>
          <w:p w:rsidR="00E31603" w:rsidRPr="00BE1813" w:rsidRDefault="00E31603" w:rsidP="0016165B">
            <w:pPr>
              <w:pStyle w:val="NoSpacing"/>
              <w:rPr>
                <w:rFonts w:cstheme="minorHAnsi"/>
                <w:sz w:val="22"/>
                <w:szCs w:val="22"/>
              </w:rPr>
            </w:pPr>
            <w:r w:rsidRPr="00BE1813">
              <w:rPr>
                <w:rFonts w:cstheme="minorHAnsi"/>
                <w:sz w:val="22"/>
                <w:szCs w:val="22"/>
              </w:rPr>
              <w:t>Low</w:t>
            </w:r>
          </w:p>
        </w:tc>
        <w:tc>
          <w:tcPr>
            <w:tcW w:w="6868" w:type="dxa"/>
          </w:tcPr>
          <w:p w:rsidR="00E31603" w:rsidRPr="00BE1813" w:rsidRDefault="00E31603" w:rsidP="0016165B">
            <w:pPr>
              <w:pStyle w:val="NoSpacing"/>
              <w:rPr>
                <w:rFonts w:cstheme="minorHAnsi"/>
                <w:sz w:val="22"/>
                <w:szCs w:val="22"/>
              </w:rPr>
            </w:pPr>
            <w:r w:rsidRPr="00BE1813">
              <w:rPr>
                <w:rFonts w:cstheme="minorHAnsi"/>
                <w:color w:val="000000"/>
                <w:sz w:val="22"/>
                <w:szCs w:val="22"/>
              </w:rPr>
              <w:t>The applicants make no co-contribution.</w:t>
            </w:r>
          </w:p>
        </w:tc>
      </w:tr>
      <w:tr w:rsidR="00E31603" w:rsidRPr="00BE1813" w:rsidTr="0016165B">
        <w:tc>
          <w:tcPr>
            <w:tcW w:w="988" w:type="dxa"/>
          </w:tcPr>
          <w:p w:rsidR="00E31603" w:rsidRPr="00BE1813" w:rsidRDefault="00E31603" w:rsidP="0016165B">
            <w:pPr>
              <w:pStyle w:val="NoSpacing"/>
              <w:rPr>
                <w:rFonts w:cstheme="minorHAnsi"/>
                <w:sz w:val="22"/>
                <w:szCs w:val="22"/>
              </w:rPr>
            </w:pPr>
            <w:r w:rsidRPr="00BE1813">
              <w:rPr>
                <w:rFonts w:cstheme="minorHAnsi"/>
                <w:sz w:val="22"/>
                <w:szCs w:val="22"/>
              </w:rPr>
              <w:t>5</w:t>
            </w:r>
          </w:p>
        </w:tc>
        <w:tc>
          <w:tcPr>
            <w:tcW w:w="1160" w:type="dxa"/>
          </w:tcPr>
          <w:p w:rsidR="00E31603" w:rsidRPr="00BE1813" w:rsidRDefault="00E31603" w:rsidP="0016165B">
            <w:pPr>
              <w:pStyle w:val="NoSpacing"/>
              <w:rPr>
                <w:rFonts w:cstheme="minorHAnsi"/>
                <w:sz w:val="22"/>
                <w:szCs w:val="22"/>
              </w:rPr>
            </w:pPr>
            <w:r w:rsidRPr="00BE1813">
              <w:rPr>
                <w:rFonts w:cstheme="minorHAnsi"/>
                <w:sz w:val="22"/>
                <w:szCs w:val="22"/>
              </w:rPr>
              <w:t>Good</w:t>
            </w:r>
          </w:p>
        </w:tc>
        <w:tc>
          <w:tcPr>
            <w:tcW w:w="6868" w:type="dxa"/>
          </w:tcPr>
          <w:p w:rsidR="00E31603" w:rsidRPr="00BE1813" w:rsidRDefault="00E31603" w:rsidP="0016165B">
            <w:pPr>
              <w:pStyle w:val="NoSpacing"/>
              <w:rPr>
                <w:rFonts w:cstheme="minorHAnsi"/>
                <w:sz w:val="22"/>
                <w:szCs w:val="22"/>
              </w:rPr>
            </w:pPr>
            <w:r w:rsidRPr="005D1970">
              <w:rPr>
                <w:rFonts w:cstheme="minorHAnsi"/>
                <w:color w:val="000000"/>
                <w:sz w:val="22"/>
                <w:szCs w:val="22"/>
              </w:rPr>
              <w:t>Co-contribution of 25% the requested funding by some of the participant organisations.</w:t>
            </w:r>
          </w:p>
        </w:tc>
      </w:tr>
      <w:tr w:rsidR="00E31603" w:rsidRPr="00BE1813" w:rsidTr="0016165B">
        <w:tc>
          <w:tcPr>
            <w:tcW w:w="988" w:type="dxa"/>
          </w:tcPr>
          <w:p w:rsidR="00E31603" w:rsidRPr="00BE1813" w:rsidRDefault="00E31603" w:rsidP="0016165B">
            <w:pPr>
              <w:pStyle w:val="NoSpacing"/>
              <w:rPr>
                <w:rFonts w:cstheme="minorHAnsi"/>
                <w:sz w:val="22"/>
                <w:szCs w:val="22"/>
              </w:rPr>
            </w:pPr>
            <w:r w:rsidRPr="00BE1813">
              <w:rPr>
                <w:rFonts w:cstheme="minorHAnsi"/>
                <w:sz w:val="22"/>
                <w:szCs w:val="22"/>
              </w:rPr>
              <w:t>10</w:t>
            </w:r>
          </w:p>
        </w:tc>
        <w:tc>
          <w:tcPr>
            <w:tcW w:w="1160" w:type="dxa"/>
          </w:tcPr>
          <w:p w:rsidR="00E31603" w:rsidRPr="00BE1813" w:rsidRDefault="00E31603" w:rsidP="0016165B">
            <w:pPr>
              <w:pStyle w:val="NoSpacing"/>
              <w:rPr>
                <w:rFonts w:cstheme="minorHAnsi"/>
                <w:sz w:val="22"/>
                <w:szCs w:val="22"/>
              </w:rPr>
            </w:pPr>
            <w:r w:rsidRPr="00BE1813">
              <w:rPr>
                <w:rFonts w:cstheme="minorHAnsi"/>
                <w:sz w:val="22"/>
                <w:szCs w:val="22"/>
              </w:rPr>
              <w:t>Excellent</w:t>
            </w:r>
          </w:p>
        </w:tc>
        <w:tc>
          <w:tcPr>
            <w:tcW w:w="6868" w:type="dxa"/>
          </w:tcPr>
          <w:p w:rsidR="00E31603" w:rsidRPr="00BE1813" w:rsidRDefault="00E31603" w:rsidP="0016165B">
            <w:pPr>
              <w:pStyle w:val="NoSpacing"/>
              <w:rPr>
                <w:rFonts w:cstheme="minorHAnsi"/>
                <w:sz w:val="22"/>
                <w:szCs w:val="22"/>
              </w:rPr>
            </w:pPr>
            <w:r w:rsidRPr="00BE1813">
              <w:rPr>
                <w:rFonts w:cstheme="minorHAnsi"/>
                <w:color w:val="000000"/>
                <w:sz w:val="22"/>
                <w:szCs w:val="22"/>
              </w:rPr>
              <w:t>Co-contribution of 100% the requested funding by</w:t>
            </w:r>
            <w:r w:rsidRPr="00BE1813">
              <w:rPr>
                <w:rFonts w:cstheme="minorHAnsi"/>
                <w:sz w:val="22"/>
                <w:szCs w:val="22"/>
              </w:rPr>
              <w:t xml:space="preserve"> multiple participant organisations.</w:t>
            </w:r>
          </w:p>
        </w:tc>
      </w:tr>
    </w:tbl>
    <w:p w:rsidR="00E31603" w:rsidRPr="00BE1813" w:rsidRDefault="00E31603" w:rsidP="00E31603">
      <w:pPr>
        <w:pStyle w:val="Heading3"/>
        <w:numPr>
          <w:ilvl w:val="0"/>
          <w:numId w:val="5"/>
        </w:numPr>
        <w:spacing w:before="200" w:after="160"/>
        <w:rPr>
          <w:rFonts w:asciiTheme="minorHAnsi" w:hAnsiTheme="minorHAnsi" w:cstheme="minorHAnsi"/>
          <w:sz w:val="22"/>
          <w:szCs w:val="22"/>
        </w:rPr>
      </w:pPr>
      <w:r>
        <w:rPr>
          <w:rFonts w:asciiTheme="minorHAnsi" w:hAnsiTheme="minorHAnsi" w:cstheme="minorHAnsi"/>
          <w:sz w:val="22"/>
          <w:szCs w:val="22"/>
        </w:rPr>
        <w:t>Impact ‘defence-ready’</w:t>
      </w:r>
    </w:p>
    <w:p w:rsidR="00E31603" w:rsidRPr="005D1970" w:rsidRDefault="00E31603" w:rsidP="00E31603">
      <w:pPr>
        <w:spacing w:after="200" w:line="276" w:lineRule="auto"/>
        <w:rPr>
          <w:rFonts w:cstheme="minorHAnsi"/>
          <w:b/>
        </w:rPr>
      </w:pPr>
      <w:r w:rsidRPr="005D1970">
        <w:rPr>
          <w:rFonts w:cstheme="minorHAnsi"/>
          <w:b/>
        </w:rPr>
        <w:t>(This</w:t>
      </w:r>
      <w:r>
        <w:rPr>
          <w:rFonts w:cstheme="minorHAnsi"/>
          <w:b/>
        </w:rPr>
        <w:t xml:space="preserve"> criterion addresses attribute 5</w:t>
      </w:r>
      <w:r w:rsidRPr="005D1970">
        <w:rPr>
          <w:rFonts w:cstheme="minorHAnsi"/>
          <w:b/>
        </w:rPr>
        <w:t>)</w:t>
      </w:r>
    </w:p>
    <w:p w:rsidR="00E31603" w:rsidRDefault="00E31603" w:rsidP="00E31603">
      <w:pPr>
        <w:spacing w:after="200" w:line="276" w:lineRule="auto"/>
        <w:rPr>
          <w:rFonts w:cstheme="minorHAnsi"/>
        </w:rPr>
      </w:pPr>
      <w:r w:rsidRPr="00BE1813">
        <w:rPr>
          <w:rFonts w:cstheme="minorHAnsi"/>
        </w:rPr>
        <w:t xml:space="preserve">This criterion assesses the outcomes resulting from investment in the </w:t>
      </w:r>
      <w:r>
        <w:rPr>
          <w:rFonts w:cstheme="minorHAnsi"/>
        </w:rPr>
        <w:t xml:space="preserve">capability improvement. </w:t>
      </w:r>
      <w:r w:rsidRPr="00BE1813">
        <w:rPr>
          <w:rFonts w:cstheme="minorHAnsi"/>
        </w:rPr>
        <w:t xml:space="preserve"> Items considered here are objectives of particular importance to </w:t>
      </w:r>
      <w:r>
        <w:rPr>
          <w:rFonts w:cstheme="minorHAnsi"/>
        </w:rPr>
        <w:t xml:space="preserve">Defence and the defence-supply chain in </w:t>
      </w:r>
      <w:r w:rsidRPr="00BE1813">
        <w:rPr>
          <w:rFonts w:cstheme="minorHAnsi"/>
        </w:rPr>
        <w:t>Western Australia and access to additional funding opportunities.</w:t>
      </w:r>
    </w:p>
    <w:p w:rsidR="00E31603" w:rsidRPr="00BE1813" w:rsidRDefault="00E31603" w:rsidP="00E31603">
      <w:pPr>
        <w:spacing w:before="100" w:beforeAutospacing="1" w:after="100" w:afterAutospacing="1" w:line="240" w:lineRule="auto"/>
        <w:rPr>
          <w:rFonts w:cstheme="minorHAnsi"/>
        </w:rPr>
      </w:pPr>
      <w:r w:rsidRPr="00BE1813">
        <w:rPr>
          <w:rFonts w:cstheme="minorHAnsi"/>
        </w:rPr>
        <w:t xml:space="preserve">This criterion has no suggested levels; it is assessed relative to other applications.  As with all selection criteria, assessors should base their assessment on the response of the applicant to the selection criteria and their judgement regarding the feasibility of the claims made by the applicant. </w:t>
      </w:r>
    </w:p>
    <w:p w:rsidR="00E31603" w:rsidRPr="00BE1813" w:rsidRDefault="00E31603" w:rsidP="00E31603">
      <w:pPr>
        <w:spacing w:before="100" w:beforeAutospacing="1" w:after="100" w:afterAutospacing="1" w:line="240" w:lineRule="auto"/>
        <w:rPr>
          <w:rFonts w:cstheme="minorHAnsi"/>
        </w:rPr>
      </w:pPr>
      <w:r w:rsidRPr="00BE1813">
        <w:rPr>
          <w:rFonts w:cstheme="minorHAnsi"/>
          <w:b/>
          <w:i/>
        </w:rPr>
        <w:t>Applications are assessed in relation to one another to produce a score for this criterion.</w:t>
      </w:r>
    </w:p>
    <w:p w:rsidR="00E31603" w:rsidRPr="00BE1813" w:rsidRDefault="00E31603" w:rsidP="00E31603">
      <w:pPr>
        <w:spacing w:after="200" w:line="276" w:lineRule="auto"/>
        <w:rPr>
          <w:rFonts w:cstheme="minorHAnsi"/>
        </w:rPr>
      </w:pPr>
    </w:p>
    <w:p w:rsidR="00E31603" w:rsidRPr="00BE1813" w:rsidRDefault="00E31603" w:rsidP="00E31603">
      <w:pPr>
        <w:rPr>
          <w:rFonts w:cstheme="minorHAnsi"/>
        </w:rPr>
      </w:pPr>
    </w:p>
    <w:p w:rsidR="00E31603" w:rsidRDefault="00E31603"/>
    <w:sectPr w:rsidR="00E316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9F1" w:rsidRDefault="00A279F1" w:rsidP="00E31603">
      <w:pPr>
        <w:spacing w:after="0" w:line="240" w:lineRule="auto"/>
      </w:pPr>
      <w:r>
        <w:separator/>
      </w:r>
    </w:p>
  </w:endnote>
  <w:endnote w:type="continuationSeparator" w:id="0">
    <w:p w:rsidR="00A279F1" w:rsidRDefault="00A279F1" w:rsidP="00E3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9F1" w:rsidRDefault="00A279F1" w:rsidP="00E31603">
      <w:pPr>
        <w:spacing w:after="0" w:line="240" w:lineRule="auto"/>
      </w:pPr>
      <w:r>
        <w:separator/>
      </w:r>
    </w:p>
  </w:footnote>
  <w:footnote w:type="continuationSeparator" w:id="0">
    <w:p w:rsidR="00A279F1" w:rsidRDefault="00A279F1" w:rsidP="00E31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603" w:rsidRDefault="00E31603">
    <w:pPr>
      <w:pStyle w:val="Header"/>
    </w:pPr>
    <w:r w:rsidRPr="00E57EB9">
      <w:rPr>
        <w:noProof/>
        <w:lang w:eastAsia="en-AU"/>
      </w:rPr>
      <w:drawing>
        <wp:anchor distT="0" distB="0" distL="114300" distR="114300" simplePos="0" relativeHeight="251659264" behindDoc="1" locked="0" layoutInCell="1" allowOverlap="1" wp14:anchorId="5AAB85E6" wp14:editId="013CA7F1">
          <wp:simplePos x="0" y="0"/>
          <wp:positionH relativeFrom="column">
            <wp:posOffset>4767262</wp:posOffset>
          </wp:positionH>
          <wp:positionV relativeFrom="paragraph">
            <wp:posOffset>-334010</wp:posOffset>
          </wp:positionV>
          <wp:extent cx="1291060" cy="792000"/>
          <wp:effectExtent l="0" t="0" r="4445" b="8255"/>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1060" cy="79200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5DE6BA57" wp14:editId="77877DD5">
          <wp:extent cx="2915149" cy="373712"/>
          <wp:effectExtent l="0" t="0" r="0" b="7620"/>
          <wp:docPr id="3" name="Picture 3" descr="http://statedevelopment/images/content/JTSI_GWA_black_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edevelopment/images/content/JTSI_GWA_black_lon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00982" cy="397535"/>
                  </a:xfrm>
                  <a:prstGeom prst="rect">
                    <a:avLst/>
                  </a:prstGeom>
                  <a:noFill/>
                  <a:ln>
                    <a:noFill/>
                  </a:ln>
                </pic:spPr>
              </pic:pic>
            </a:graphicData>
          </a:graphic>
        </wp:inline>
      </w:drawing>
    </w:r>
  </w:p>
  <w:p w:rsidR="00E31603" w:rsidRDefault="00E31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871"/>
    <w:multiLevelType w:val="hybridMultilevel"/>
    <w:tmpl w:val="9CBC787E"/>
    <w:lvl w:ilvl="0" w:tplc="695EAFAC">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A10340"/>
    <w:multiLevelType w:val="hybridMultilevel"/>
    <w:tmpl w:val="52D89F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14E1427"/>
    <w:multiLevelType w:val="hybridMultilevel"/>
    <w:tmpl w:val="839EB4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4FB4BB1"/>
    <w:multiLevelType w:val="hybridMultilevel"/>
    <w:tmpl w:val="9A88F7C8"/>
    <w:lvl w:ilvl="0" w:tplc="0C09000F">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77431E76"/>
    <w:multiLevelType w:val="hybridMultilevel"/>
    <w:tmpl w:val="0F92D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03"/>
    <w:rsid w:val="004A2D10"/>
    <w:rsid w:val="00510705"/>
    <w:rsid w:val="006C6CA7"/>
    <w:rsid w:val="009F3A8A"/>
    <w:rsid w:val="00A279F1"/>
    <w:rsid w:val="00E31603"/>
    <w:rsid w:val="00ED62DC"/>
    <w:rsid w:val="00ED7B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145E"/>
  <w15:chartTrackingRefBased/>
  <w15:docId w15:val="{9F72B578-A53B-4549-AAE1-FA7F3091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603"/>
  </w:style>
  <w:style w:type="paragraph" w:styleId="Heading2">
    <w:name w:val="heading 2"/>
    <w:basedOn w:val="Normal"/>
    <w:next w:val="Normal"/>
    <w:link w:val="Heading2Char"/>
    <w:uiPriority w:val="9"/>
    <w:unhideWhenUsed/>
    <w:qFormat/>
    <w:rsid w:val="00E31603"/>
    <w:pPr>
      <w:keepNext/>
      <w:keepLines/>
      <w:spacing w:before="240" w:after="0"/>
      <w:outlineLvl w:val="1"/>
    </w:pPr>
    <w:rPr>
      <w:rFonts w:ascii="Arial" w:eastAsiaTheme="majorEastAsia" w:hAnsi="Arial" w:cs="Arial"/>
      <w:b/>
      <w:color w:val="0F263C" w:themeColor="accent1" w:themeShade="40"/>
      <w:sz w:val="26"/>
      <w:szCs w:val="26"/>
    </w:rPr>
  </w:style>
  <w:style w:type="paragraph" w:styleId="Heading3">
    <w:name w:val="heading 3"/>
    <w:basedOn w:val="Normal"/>
    <w:next w:val="Normal"/>
    <w:link w:val="Heading3Char"/>
    <w:uiPriority w:val="9"/>
    <w:unhideWhenUsed/>
    <w:qFormat/>
    <w:rsid w:val="00E31603"/>
    <w:pPr>
      <w:keepNext/>
      <w:keepLines/>
      <w:spacing w:before="240" w:after="0"/>
      <w:outlineLvl w:val="2"/>
    </w:pPr>
    <w:rPr>
      <w:rFonts w:ascii="Arial" w:eastAsiaTheme="majorEastAsia" w:hAnsi="Arial" w:cs="Arial"/>
      <w:b/>
      <w:color w:val="0F263C" w:themeColor="accent1" w:themeShade="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603"/>
    <w:rPr>
      <w:rFonts w:ascii="Arial" w:eastAsiaTheme="majorEastAsia" w:hAnsi="Arial" w:cs="Arial"/>
      <w:b/>
      <w:color w:val="0F263C" w:themeColor="accent1" w:themeShade="40"/>
      <w:sz w:val="26"/>
      <w:szCs w:val="26"/>
    </w:rPr>
  </w:style>
  <w:style w:type="character" w:customStyle="1" w:styleId="Heading3Char">
    <w:name w:val="Heading 3 Char"/>
    <w:basedOn w:val="DefaultParagraphFont"/>
    <w:link w:val="Heading3"/>
    <w:uiPriority w:val="9"/>
    <w:rsid w:val="00E31603"/>
    <w:rPr>
      <w:rFonts w:ascii="Arial" w:eastAsiaTheme="majorEastAsia" w:hAnsi="Arial" w:cs="Arial"/>
      <w:b/>
      <w:color w:val="0F263C" w:themeColor="accent1" w:themeShade="40"/>
      <w:sz w:val="24"/>
      <w:szCs w:val="24"/>
    </w:rPr>
  </w:style>
  <w:style w:type="paragraph" w:styleId="NoSpacing">
    <w:name w:val="No Spacing"/>
    <w:uiPriority w:val="1"/>
    <w:qFormat/>
    <w:rsid w:val="00E31603"/>
    <w:pPr>
      <w:spacing w:after="0" w:line="240" w:lineRule="auto"/>
    </w:pPr>
  </w:style>
  <w:style w:type="paragraph" w:styleId="BodyText">
    <w:name w:val="Body Text"/>
    <w:basedOn w:val="Normal"/>
    <w:link w:val="BodyTextChar"/>
    <w:qFormat/>
    <w:rsid w:val="00E31603"/>
    <w:pPr>
      <w:spacing w:after="200"/>
    </w:pPr>
  </w:style>
  <w:style w:type="character" w:customStyle="1" w:styleId="BodyTextChar">
    <w:name w:val="Body Text Char"/>
    <w:basedOn w:val="DefaultParagraphFont"/>
    <w:link w:val="BodyText"/>
    <w:rsid w:val="00E31603"/>
  </w:style>
  <w:style w:type="table" w:styleId="TableGrid">
    <w:name w:val="Table Grid"/>
    <w:basedOn w:val="TableNormal"/>
    <w:uiPriority w:val="39"/>
    <w:rsid w:val="00E316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1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603"/>
  </w:style>
  <w:style w:type="paragraph" w:styleId="Footer">
    <w:name w:val="footer"/>
    <w:basedOn w:val="Normal"/>
    <w:link w:val="FooterChar"/>
    <w:uiPriority w:val="99"/>
    <w:unhideWhenUsed/>
    <w:rsid w:val="00E31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4884</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GEDDES, Rachel</dc:creator>
  <cp:keywords/>
  <dc:description/>
  <cp:lastModifiedBy>SCULLIN, Claire</cp:lastModifiedBy>
  <cp:revision>3</cp:revision>
  <dcterms:created xsi:type="dcterms:W3CDTF">2020-09-04T05:33:00Z</dcterms:created>
  <dcterms:modified xsi:type="dcterms:W3CDTF">2020-09-08T04:52:00Z</dcterms:modified>
</cp:coreProperties>
</file>